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19FC7" w14:textId="64505227" w:rsidR="0015010C" w:rsidRDefault="00796BF6" w:rsidP="00796BF6">
      <w:pPr>
        <w:jc w:val="center"/>
        <w:rPr>
          <w:b/>
          <w:sz w:val="36"/>
        </w:rPr>
      </w:pPr>
      <w:r w:rsidRPr="00362FD5">
        <w:rPr>
          <w:b/>
          <w:sz w:val="36"/>
        </w:rPr>
        <w:t>PROTOCOL TEXT EXAMPLE:</w:t>
      </w:r>
      <w:r w:rsidR="0015010C" w:rsidRPr="00362FD5">
        <w:rPr>
          <w:b/>
          <w:sz w:val="36"/>
        </w:rPr>
        <w:t xml:space="preserve"> Using </w:t>
      </w:r>
      <w:r w:rsidRPr="00362FD5">
        <w:rPr>
          <w:b/>
          <w:sz w:val="36"/>
        </w:rPr>
        <w:t>T</w:t>
      </w:r>
      <w:r w:rsidR="002D2ED0">
        <w:rPr>
          <w:b/>
          <w:sz w:val="36"/>
        </w:rPr>
        <w:t xml:space="preserve">riNetX </w:t>
      </w:r>
      <w:r w:rsidRPr="00362FD5">
        <w:rPr>
          <w:b/>
          <w:sz w:val="36"/>
        </w:rPr>
        <w:t>for</w:t>
      </w:r>
      <w:r w:rsidR="002D2ED0">
        <w:rPr>
          <w:b/>
          <w:sz w:val="36"/>
        </w:rPr>
        <w:t xml:space="preserve"> Stony </w:t>
      </w:r>
      <w:r w:rsidR="002D2ED0">
        <w:rPr>
          <w:b/>
          <w:sz w:val="36"/>
        </w:rPr>
        <w:br/>
        <w:t>Brook Patient</w:t>
      </w:r>
      <w:r w:rsidRPr="00362FD5">
        <w:rPr>
          <w:b/>
          <w:sz w:val="36"/>
        </w:rPr>
        <w:t xml:space="preserve"> </w:t>
      </w:r>
      <w:r w:rsidR="0015010C" w:rsidRPr="002D2ED0">
        <w:rPr>
          <w:b/>
          <w:sz w:val="36"/>
        </w:rPr>
        <w:t>Retro</w:t>
      </w:r>
      <w:r w:rsidR="002D2ED0">
        <w:rPr>
          <w:b/>
          <w:sz w:val="36"/>
        </w:rPr>
        <w:t>spective</w:t>
      </w:r>
      <w:r w:rsidR="0015010C" w:rsidRPr="002D2ED0">
        <w:rPr>
          <w:b/>
          <w:sz w:val="36"/>
        </w:rPr>
        <w:t xml:space="preserve"> Chart Review</w:t>
      </w:r>
    </w:p>
    <w:p w14:paraId="6DFEE262" w14:textId="37B3EF02" w:rsidR="00621E13" w:rsidRDefault="001A1C8F" w:rsidP="00621E13">
      <w:pPr>
        <w:jc w:val="center"/>
        <w:rPr>
          <w:sz w:val="24"/>
        </w:rPr>
      </w:pPr>
      <w:r w:rsidRPr="00621E13">
        <w:rPr>
          <w:noProof/>
          <w:sz w:val="24"/>
        </w:rPr>
        <mc:AlternateContent>
          <mc:Choice Requires="wps">
            <w:drawing>
              <wp:anchor distT="45720" distB="45720" distL="114300" distR="114300" simplePos="0" relativeHeight="251659264" behindDoc="0" locked="0" layoutInCell="1" allowOverlap="1" wp14:anchorId="4E0A9BAF" wp14:editId="18E36454">
                <wp:simplePos x="0" y="0"/>
                <wp:positionH relativeFrom="column">
                  <wp:posOffset>38100</wp:posOffset>
                </wp:positionH>
                <wp:positionV relativeFrom="paragraph">
                  <wp:posOffset>489585</wp:posOffset>
                </wp:positionV>
                <wp:extent cx="5724525" cy="1404620"/>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C9AB1A0" w14:textId="73989E18" w:rsidR="00621E13" w:rsidRDefault="001A1C8F">
                            <w:r>
                              <w:t xml:space="preserve">IMPORTANT: </w:t>
                            </w:r>
                            <w:r w:rsidR="00621E13">
                              <w:t>Researchers may choose to use this example text in preparing their protocols for retrospective studies using TNX.</w:t>
                            </w:r>
                            <w:r>
                              <w:t xml:space="preserve"> Please be aware that researchers are ultimately responsible for the accuracy of their protocol language, so review carefully in the context of your planned research.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A9BAF" id="_x0000_t202" coordsize="21600,21600" o:spt="202" path="m,l,21600r21600,l21600,xe">
                <v:stroke joinstyle="miter"/>
                <v:path gradientshapeok="t" o:connecttype="rect"/>
              </v:shapetype>
              <v:shape id="Text Box 2" o:spid="_x0000_s1026" type="#_x0000_t202" style="position:absolute;left:0;text-align:left;margin-left:3pt;margin-top:38.55pt;width:45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" fillcolor="#f3a875 [2165]" strokecolor="#ed7d31 [3205]" strokeweight=".5pt">
                <v:fill color2="#f09558 [2613]" rotate="t" colors="0 #f7bda4;.5 #f5b195;1 #f8a581" focus="100%" type="gradient">
                  <o:fill v:ext="view" type="gradientUnscaled"/>
                </v:fill>
                <v:textbox style="mso-fit-shape-to-text:t">
                  <w:txbxContent>
                    <w:p w14:paraId="6C9AB1A0" w14:textId="73989E18" w:rsidR="00621E13" w:rsidRDefault="001A1C8F">
                      <w:r>
                        <w:t xml:space="preserve">IMPORTANT: </w:t>
                      </w:r>
                      <w:r w:rsidR="00621E13">
                        <w:t>Researchers may choose to use this example text in preparing their protocols for retrospective studies using TNX.</w:t>
                      </w:r>
                      <w:r>
                        <w:t xml:space="preserve"> Please be aware that researchers are ultimately responsible for the accuracy of their protocol language, so review carefully in the context of your planned research.  </w:t>
                      </w:r>
                    </w:p>
                  </w:txbxContent>
                </v:textbox>
                <w10:wrap type="square"/>
              </v:shape>
            </w:pict>
          </mc:Fallback>
        </mc:AlternateContent>
      </w:r>
      <w:r w:rsidR="00621E13" w:rsidRPr="00F55698">
        <w:rPr>
          <w:sz w:val="24"/>
        </w:rPr>
        <w:t xml:space="preserve">version date </w:t>
      </w:r>
      <w:r w:rsidR="002D2ED0">
        <w:rPr>
          <w:sz w:val="24"/>
        </w:rPr>
        <w:t>06May2025</w:t>
      </w:r>
    </w:p>
    <w:p w14:paraId="35AC533A" w14:textId="77777777" w:rsidR="001A1C8F" w:rsidRDefault="001A1C8F" w:rsidP="0015010C">
      <w:pPr>
        <w:jc w:val="center"/>
      </w:pPr>
    </w:p>
    <w:p w14:paraId="23308883" w14:textId="77777777" w:rsidR="00796BF6" w:rsidRPr="00362FD5" w:rsidRDefault="00796BF6" w:rsidP="00796BF6">
      <w:pPr>
        <w:spacing w:line="276" w:lineRule="auto"/>
      </w:pPr>
      <w:r w:rsidRPr="00362FD5">
        <w:rPr>
          <w:b/>
          <w:sz w:val="28"/>
        </w:rPr>
        <w:t>4.0 Study Design</w:t>
      </w:r>
    </w:p>
    <w:p w14:paraId="17F1D199" w14:textId="48FE3C97" w:rsidR="00796BF6" w:rsidRPr="00362FD5" w:rsidRDefault="00796BF6" w:rsidP="00796BF6">
      <w:r w:rsidRPr="00362FD5">
        <w:t>In effort</w:t>
      </w:r>
      <w:r w:rsidR="002D2ED0">
        <w:t>s</w:t>
      </w:r>
      <w:r w:rsidRPr="00362FD5">
        <w:t xml:space="preserve"> to better understand current </w:t>
      </w:r>
      <w:r w:rsidR="00017C89" w:rsidRPr="00362FD5">
        <w:t xml:space="preserve">disease, treatment and management </w:t>
      </w:r>
      <w:r w:rsidRPr="00362FD5">
        <w:t xml:space="preserve">trends, it is reasonable to examine prior years’ trends, on both an institutional and national level. </w:t>
      </w:r>
      <w:r w:rsidR="0023571E" w:rsidRPr="00362FD5">
        <w:t>TriNetX® is a research network combining Stony Brook’s de-identified Ce</w:t>
      </w:r>
      <w:bookmarkStart w:id="0" w:name="_GoBack"/>
      <w:bookmarkEnd w:id="0"/>
      <w:r w:rsidR="0023571E" w:rsidRPr="00362FD5">
        <w:t>rner Electronic Medical Record data with de-</w:t>
      </w:r>
      <w:r w:rsidR="009E0F6D" w:rsidRPr="00362FD5">
        <w:t>identified</w:t>
      </w:r>
      <w:r w:rsidR="0023571E" w:rsidRPr="00362FD5">
        <w:t xml:space="preserve"> data from other Health Institutions, and claims data from insurance groups for study. </w:t>
      </w:r>
      <w:r w:rsidR="0023571E" w:rsidRPr="009F3B4F">
        <w:t>(www.stonybrookmedicine.edu/trinetx)</w:t>
      </w:r>
      <w:r w:rsidR="00017C89" w:rsidRPr="009F3B4F">
        <w:t>(Topaloglu et al). The TriNetX software collects de-identified patient data pulled from electronic medical record systems, such as Cerner Millennium</w:t>
      </w:r>
      <w:bookmarkStart w:id="1" w:name="_Hlk83045292"/>
      <w:r w:rsidR="00017C89" w:rsidRPr="009F3B4F">
        <w:t>®</w:t>
      </w:r>
      <w:bookmarkEnd w:id="1"/>
      <w:r w:rsidR="00017C89" w:rsidRPr="009F3B4F">
        <w:t xml:space="preserve">, and organizes them into a user interface that allows researchers to </w:t>
      </w:r>
      <w:r w:rsidR="0023571E" w:rsidRPr="009F3B4F">
        <w:t xml:space="preserve">use </w:t>
      </w:r>
      <w:r w:rsidR="00017C89" w:rsidRPr="009F3B4F">
        <w:t xml:space="preserve">query criteria </w:t>
      </w:r>
      <w:r w:rsidR="0023571E" w:rsidRPr="009F3B4F">
        <w:t xml:space="preserve">to complete their </w:t>
      </w:r>
      <w:r w:rsidR="00017C89" w:rsidRPr="009F3B4F">
        <w:t>study</w:t>
      </w:r>
      <w:r w:rsidR="0023571E" w:rsidRPr="009F3B4F">
        <w:t xml:space="preserve"> participant identification and analysis</w:t>
      </w:r>
      <w:r w:rsidR="00017C89" w:rsidRPr="009F3B4F">
        <w:t>.</w:t>
      </w:r>
    </w:p>
    <w:p w14:paraId="3097A202" w14:textId="26922E2C" w:rsidR="00254C80" w:rsidRPr="00362FD5" w:rsidRDefault="009F3B4F" w:rsidP="00796BF6">
      <w:r>
        <w:t>(</w:t>
      </w:r>
      <w:r w:rsidRPr="009F3B4F">
        <w:rPr>
          <w:i/>
          <w:color w:val="FF0000"/>
        </w:rPr>
        <w:t>Edit this section for your study</w:t>
      </w:r>
      <w:r>
        <w:t xml:space="preserve">) </w:t>
      </w:r>
      <w:r w:rsidR="00F50DCA" w:rsidRPr="00362FD5">
        <w:t>Utilizing this data resource</w:t>
      </w:r>
      <w:r w:rsidR="00796BF6" w:rsidRPr="00362FD5">
        <w:t xml:space="preserve">, our study team aims to conduct a retrospective analysis of all </w:t>
      </w:r>
      <w:r w:rsidR="00F50DCA" w:rsidRPr="00362FD5">
        <w:t>_________</w:t>
      </w:r>
      <w:r w:rsidR="00796BF6" w:rsidRPr="00362FD5">
        <w:t xml:space="preserve">patients </w:t>
      </w:r>
      <w:r w:rsidR="00F50DCA" w:rsidRPr="00362FD5">
        <w:t>ages _____ to _____</w:t>
      </w:r>
      <w:r w:rsidR="00796BF6" w:rsidRPr="00362FD5">
        <w:t xml:space="preserve"> admitted with a diagnosis of </w:t>
      </w:r>
      <w:r w:rsidR="00F50DCA" w:rsidRPr="00362FD5">
        <w:t>_________________</w:t>
      </w:r>
      <w:r w:rsidR="00F50DCA" w:rsidRPr="00362FD5" w:rsidDel="00F50DCA">
        <w:t xml:space="preserve"> </w:t>
      </w:r>
      <w:r w:rsidR="00796BF6" w:rsidRPr="00362FD5">
        <w:t xml:space="preserve"> during the </w:t>
      </w:r>
      <w:r w:rsidR="00F50DCA" w:rsidRPr="00362FD5">
        <w:t>period of time from __________ to _________</w:t>
      </w:r>
      <w:r w:rsidR="00796BF6" w:rsidRPr="00362FD5">
        <w:t xml:space="preserve">during the years of </w:t>
      </w:r>
      <w:r w:rsidR="00F50DCA" w:rsidRPr="00362FD5">
        <w:t>_________ - ______________</w:t>
      </w:r>
      <w:r w:rsidR="00796BF6" w:rsidRPr="00362FD5">
        <w:t xml:space="preserve">. </w:t>
      </w:r>
      <w:r w:rsidR="00796BF6" w:rsidRPr="009F3B4F">
        <w:t xml:space="preserve">We will </w:t>
      </w:r>
      <w:r>
        <w:t xml:space="preserve">create a </w:t>
      </w:r>
      <w:r w:rsidR="00796BF6" w:rsidRPr="009F3B4F">
        <w:t xml:space="preserve">query </w:t>
      </w:r>
      <w:r>
        <w:t>to isolate this cohort in the</w:t>
      </w:r>
      <w:r w:rsidR="00F50DCA" w:rsidRPr="009F3B4F">
        <w:t xml:space="preserve"> </w:t>
      </w:r>
      <w:r w:rsidR="00796BF6" w:rsidRPr="009F3B4F">
        <w:t xml:space="preserve">Stony Brook </w:t>
      </w:r>
      <w:r>
        <w:t xml:space="preserve">University </w:t>
      </w:r>
      <w:r w:rsidR="00796BF6" w:rsidRPr="009F3B4F">
        <w:t>Research network database.</w:t>
      </w:r>
      <w:r w:rsidR="00796BF6" w:rsidRPr="00362FD5">
        <w:t xml:space="preserve"> </w:t>
      </w:r>
    </w:p>
    <w:p w14:paraId="3302A36A" w14:textId="52EB639D" w:rsidR="00796BF6" w:rsidRDefault="00FB1917" w:rsidP="00796BF6">
      <w:r w:rsidRPr="009F3B4F">
        <w:t xml:space="preserve">Once our study cohort is selected, </w:t>
      </w:r>
      <w:r w:rsidR="00796BF6" w:rsidRPr="009F3B4F">
        <w:t>we will</w:t>
      </w:r>
      <w:r w:rsidR="009F3B4F">
        <w:t xml:space="preserve"> re-</w:t>
      </w:r>
      <w:r w:rsidR="00BA2286" w:rsidRPr="009F3B4F">
        <w:t xml:space="preserve">identify the cohort of patients </w:t>
      </w:r>
      <w:r w:rsidR="009F3B4F">
        <w:t xml:space="preserve">seen </w:t>
      </w:r>
      <w:r w:rsidR="00BA2286" w:rsidRPr="009F3B4F">
        <w:t>within the timeframe we are studying</w:t>
      </w:r>
      <w:r w:rsidR="009E0F6D" w:rsidRPr="009F3B4F">
        <w:t xml:space="preserve">. </w:t>
      </w:r>
      <w:r w:rsidR="00BA2286" w:rsidRPr="009F3B4F">
        <w:t xml:space="preserve"> </w:t>
      </w:r>
      <w:r w:rsidR="009E0F6D" w:rsidRPr="009F3B4F">
        <w:t>Acting as Honest Broker,</w:t>
      </w:r>
      <w:r w:rsidR="00E93E6C" w:rsidRPr="009F3B4F">
        <w:t xml:space="preserve"> SBM </w:t>
      </w:r>
      <w:r w:rsidR="009E0F6D" w:rsidRPr="009F3B4F">
        <w:t>IT</w:t>
      </w:r>
      <w:r w:rsidR="00E93E6C" w:rsidRPr="009F3B4F">
        <w:t xml:space="preserve"> </w:t>
      </w:r>
      <w:r w:rsidR="009E0F6D" w:rsidRPr="009F3B4F">
        <w:t>will download the</w:t>
      </w:r>
      <w:r w:rsidR="00A27E91" w:rsidRPr="009F3B4F">
        <w:t xml:space="preserve"> TriNetX synthetic </w:t>
      </w:r>
      <w:r w:rsidR="009E0F6D" w:rsidRPr="009F3B4F">
        <w:t xml:space="preserve">patient </w:t>
      </w:r>
      <w:r w:rsidR="00A27E91" w:rsidRPr="009F3B4F">
        <w:t xml:space="preserve">IDs </w:t>
      </w:r>
      <w:r w:rsidR="00E93E6C" w:rsidRPr="009F3B4F">
        <w:t xml:space="preserve">for </w:t>
      </w:r>
      <w:r w:rsidR="009E0F6D" w:rsidRPr="009F3B4F">
        <w:t>our</w:t>
      </w:r>
      <w:r w:rsidR="00E93E6C" w:rsidRPr="009F3B4F">
        <w:t xml:space="preserve"> </w:t>
      </w:r>
      <w:r w:rsidR="009E0F6D" w:rsidRPr="009F3B4F">
        <w:t>selected</w:t>
      </w:r>
      <w:r w:rsidR="00E93E6C" w:rsidRPr="009F3B4F">
        <w:t xml:space="preserve"> cohort of patients</w:t>
      </w:r>
      <w:r w:rsidR="009E0F6D" w:rsidRPr="009F3B4F">
        <w:t>, then re-map them to the patients’ SBM MRNs</w:t>
      </w:r>
      <w:r w:rsidR="00E93E6C" w:rsidRPr="009F3B4F">
        <w:t>. Using these MRNs</w:t>
      </w:r>
      <w:r w:rsidR="009E0F6D" w:rsidRPr="009F3B4F">
        <w:t>,</w:t>
      </w:r>
      <w:r w:rsidR="00E93E6C" w:rsidRPr="009F3B4F">
        <w:t xml:space="preserve"> w</w:t>
      </w:r>
      <w:r w:rsidR="00A27E91" w:rsidRPr="009F3B4F">
        <w:t>e will access the electronic medical charts for</w:t>
      </w:r>
      <w:r w:rsidR="00A27E91" w:rsidRPr="00362FD5">
        <w:t xml:space="preserve"> </w:t>
      </w:r>
      <w:r w:rsidR="00796BF6" w:rsidRPr="009F3B4F">
        <w:t xml:space="preserve">evaluation of demographics, comorbidities, and </w:t>
      </w:r>
      <w:r w:rsidR="00E93E6C" w:rsidRPr="009F3B4F">
        <w:t>______________</w:t>
      </w:r>
      <w:proofErr w:type="gramStart"/>
      <w:r w:rsidR="00E93E6C" w:rsidRPr="009F3B4F">
        <w:t>_{</w:t>
      </w:r>
      <w:proofErr w:type="gramEnd"/>
      <w:r w:rsidR="00E93E6C" w:rsidRPr="009F3B4F">
        <w:rPr>
          <w:color w:val="FF0000"/>
        </w:rPr>
        <w:t>insert other information you will collect here</w:t>
      </w:r>
      <w:r w:rsidR="002D2ED0">
        <w:rPr>
          <w:color w:val="FF0000"/>
        </w:rPr>
        <w:t xml:space="preserve">, such as </w:t>
      </w:r>
      <w:r w:rsidR="00E93E6C" w:rsidRPr="009F3B4F">
        <w:rPr>
          <w:color w:val="FF0000"/>
        </w:rPr>
        <w:t xml:space="preserve"> Lab, radiology, pathology, medications </w:t>
      </w:r>
      <w:proofErr w:type="spellStart"/>
      <w:r w:rsidR="00E93E6C" w:rsidRPr="009F3B4F">
        <w:rPr>
          <w:color w:val="FF0000"/>
        </w:rPr>
        <w:t>etc</w:t>
      </w:r>
      <w:proofErr w:type="spellEnd"/>
      <w:r w:rsidR="002D2ED0">
        <w:rPr>
          <w:color w:val="FF0000"/>
        </w:rPr>
        <w:t>}</w:t>
      </w:r>
      <w:r w:rsidR="00E93E6C" w:rsidRPr="00362FD5">
        <w:t xml:space="preserve"> for {</w:t>
      </w:r>
      <w:r w:rsidR="00E93E6C" w:rsidRPr="009F3B4F">
        <w:rPr>
          <w:color w:val="FF0000"/>
        </w:rPr>
        <w:t>insert time frame (e.g. inpatient admissions, outpatient visits</w:t>
      </w:r>
      <w:r w:rsidR="002D2ED0">
        <w:rPr>
          <w:color w:val="FF0000"/>
        </w:rPr>
        <w:t>,</w:t>
      </w:r>
      <w:r w:rsidR="00E93E6C" w:rsidRPr="009F3B4F">
        <w:rPr>
          <w:color w:val="FF0000"/>
        </w:rPr>
        <w:t xml:space="preserve"> etc</w:t>
      </w:r>
      <w:r w:rsidR="002D2ED0">
        <w:rPr>
          <w:color w:val="FF0000"/>
        </w:rPr>
        <w:t>.</w:t>
      </w:r>
      <w:r w:rsidR="00E93E6C" w:rsidRPr="00362FD5">
        <w:t>}</w:t>
      </w:r>
      <w:r w:rsidR="00796BF6" w:rsidRPr="00362FD5">
        <w:t xml:space="preserve">. All patient data will be kept confidential and all patient identifiers will be removed </w:t>
      </w:r>
      <w:r w:rsidR="00E93E6C" w:rsidRPr="00362FD5">
        <w:t xml:space="preserve">prior to </w:t>
      </w:r>
      <w:r w:rsidR="00796BF6" w:rsidRPr="00362FD5">
        <w:t xml:space="preserve">data analysis. </w:t>
      </w:r>
    </w:p>
    <w:p w14:paraId="524C0C7D" w14:textId="77777777" w:rsidR="00796BF6" w:rsidRPr="00362FD5" w:rsidRDefault="00796BF6" w:rsidP="00796BF6">
      <w:pPr>
        <w:spacing w:line="276" w:lineRule="auto"/>
        <w:rPr>
          <w:b/>
          <w:sz w:val="26"/>
        </w:rPr>
      </w:pPr>
      <w:r w:rsidRPr="00362FD5">
        <w:rPr>
          <w:b/>
          <w:sz w:val="28"/>
        </w:rPr>
        <w:t>5.0 Local Number of Subjects</w:t>
      </w:r>
    </w:p>
    <w:p w14:paraId="4A8803AE" w14:textId="77777777" w:rsidR="00796BF6" w:rsidRPr="00362FD5" w:rsidRDefault="00796BF6" w:rsidP="00796BF6">
      <w:pPr>
        <w:rPr>
          <w:i/>
        </w:rPr>
      </w:pPr>
      <w:r w:rsidRPr="00362FD5">
        <w:rPr>
          <w:i/>
        </w:rPr>
        <w:t>5.1</w:t>
      </w:r>
      <w:r w:rsidRPr="00362FD5">
        <w:rPr>
          <w:i/>
        </w:rPr>
        <w:tab/>
        <w:t>Indicate the total number of subjects who will be enrolled or records that will be reviewed through Stony Brook</w:t>
      </w:r>
    </w:p>
    <w:p w14:paraId="67FF43E1" w14:textId="61C2E9FD" w:rsidR="00BD6321" w:rsidRPr="009F3B4F" w:rsidRDefault="00796BF6" w:rsidP="00796BF6">
      <w:r w:rsidRPr="009F3B4F">
        <w:t xml:space="preserve">Response: </w:t>
      </w:r>
    </w:p>
    <w:p w14:paraId="6E16F939" w14:textId="44923734" w:rsidR="00796BF6" w:rsidRPr="00362FD5" w:rsidRDefault="00E93E6C" w:rsidP="00796BF6">
      <w:r w:rsidRPr="009F3B4F">
        <w:t>N/A</w:t>
      </w:r>
      <w:r w:rsidR="00C836DF" w:rsidRPr="009F3B4F">
        <w:t xml:space="preserve">. TriNetX is a dynamic database with increasing numbers of patients included daily. The </w:t>
      </w:r>
      <w:r w:rsidR="00796BF6" w:rsidRPr="009F3B4F">
        <w:t xml:space="preserve">total number of subjects </w:t>
      </w:r>
      <w:r w:rsidR="00C836DF" w:rsidRPr="009F3B4F">
        <w:t xml:space="preserve">to be included in this study </w:t>
      </w:r>
      <w:r w:rsidR="00796BF6" w:rsidRPr="009F3B4F">
        <w:t xml:space="preserve">will </w:t>
      </w:r>
      <w:r w:rsidR="00C836DF" w:rsidRPr="009F3B4F">
        <w:t xml:space="preserve">only be known once a query is made within </w:t>
      </w:r>
      <w:r w:rsidR="00796BF6" w:rsidRPr="009F3B4F">
        <w:t>the TriNetX program</w:t>
      </w:r>
      <w:r w:rsidR="00C836DF" w:rsidRPr="009F3B4F">
        <w:t xml:space="preserve"> at the time of study implementation</w:t>
      </w:r>
      <w:r w:rsidR="00796BF6" w:rsidRPr="009F3B4F">
        <w:t>.</w:t>
      </w:r>
    </w:p>
    <w:p w14:paraId="51EFF8DF" w14:textId="77777777" w:rsidR="00796BF6" w:rsidRPr="00362FD5" w:rsidRDefault="00796BF6" w:rsidP="00796BF6">
      <w:pPr>
        <w:spacing w:line="276" w:lineRule="auto"/>
        <w:rPr>
          <w:i/>
        </w:rPr>
      </w:pPr>
      <w:r w:rsidRPr="00362FD5">
        <w:rPr>
          <w:i/>
        </w:rPr>
        <w:t>5.2</w:t>
      </w:r>
      <w:r w:rsidRPr="00362FD5">
        <w:rPr>
          <w:i/>
        </w:rPr>
        <w:tab/>
        <w:t>If this study is only being conducted through Stony Brook, provide statistical justification (i.e. power analysis) for the number of subjects provided in 5.1 above.  If qualitative research, so state, and provide general justification for the total number of subjects proposed.</w:t>
      </w:r>
    </w:p>
    <w:p w14:paraId="7E2B57FB" w14:textId="77777777" w:rsidR="00796BF6" w:rsidRPr="009F3B4F" w:rsidRDefault="00796BF6" w:rsidP="00796BF6">
      <w:r w:rsidRPr="009F3B4F">
        <w:t xml:space="preserve">Response: </w:t>
      </w:r>
    </w:p>
    <w:p w14:paraId="5FDB2846" w14:textId="543A9CAC" w:rsidR="00796BF6" w:rsidRPr="00362FD5" w:rsidRDefault="00C836DF" w:rsidP="00796BF6">
      <w:r w:rsidRPr="009F3B4F">
        <w:t xml:space="preserve">N/A. </w:t>
      </w:r>
      <w:r w:rsidR="00796BF6" w:rsidRPr="009F3B4F">
        <w:t xml:space="preserve">This </w:t>
      </w:r>
      <w:r w:rsidRPr="009F3B4F">
        <w:t xml:space="preserve">study will include all data for all patients identified </w:t>
      </w:r>
      <w:r w:rsidR="00796BF6" w:rsidRPr="009F3B4F">
        <w:t>by TriNetX</w:t>
      </w:r>
      <w:r w:rsidRPr="009F3B4F">
        <w:t xml:space="preserve">. </w:t>
      </w:r>
      <w:proofErr w:type="gramStart"/>
      <w:r w:rsidRPr="009F3B4F">
        <w:t>Thus</w:t>
      </w:r>
      <w:proofErr w:type="gramEnd"/>
      <w:r w:rsidRPr="009F3B4F">
        <w:t xml:space="preserve"> there is no statistical justification for the number of subjects to include.</w:t>
      </w:r>
    </w:p>
    <w:p w14:paraId="75A4FB70" w14:textId="77777777" w:rsidR="00796BF6" w:rsidRPr="00362FD5" w:rsidRDefault="00796BF6" w:rsidP="00796BF6"/>
    <w:p w14:paraId="554EFB1C" w14:textId="77777777" w:rsidR="00796BF6" w:rsidRPr="00362FD5" w:rsidRDefault="00796BF6" w:rsidP="00796BF6">
      <w:pPr>
        <w:spacing w:line="276" w:lineRule="auto"/>
        <w:rPr>
          <w:b/>
          <w:sz w:val="28"/>
        </w:rPr>
      </w:pPr>
      <w:r w:rsidRPr="00362FD5">
        <w:rPr>
          <w:b/>
          <w:sz w:val="28"/>
        </w:rPr>
        <w:t>6.0 Inclusion and Exclusion Criteria</w:t>
      </w:r>
    </w:p>
    <w:p w14:paraId="52045217" w14:textId="77777777" w:rsidR="00796BF6" w:rsidRPr="00362FD5" w:rsidRDefault="00796BF6" w:rsidP="00796BF6">
      <w:pPr>
        <w:spacing w:line="276" w:lineRule="auto"/>
        <w:rPr>
          <w:i/>
        </w:rPr>
      </w:pPr>
      <w:r w:rsidRPr="00362FD5">
        <w:rPr>
          <w:i/>
        </w:rPr>
        <w:t>6.1</w:t>
      </w:r>
      <w:r w:rsidRPr="00362FD5">
        <w:rPr>
          <w:i/>
        </w:rPr>
        <w:tab/>
        <w:t>Describe, in bullet points, the criteria that define who will be included in this study:</w:t>
      </w:r>
    </w:p>
    <w:p w14:paraId="0ACE0BEF" w14:textId="77777777" w:rsidR="00796BF6" w:rsidRPr="00362FD5" w:rsidRDefault="00796BF6" w:rsidP="00796BF6">
      <w:r w:rsidRPr="00362FD5">
        <w:t xml:space="preserve">Response: </w:t>
      </w:r>
    </w:p>
    <w:p w14:paraId="7DA6391B" w14:textId="1F203F56" w:rsidR="00796BF6" w:rsidRPr="00362FD5" w:rsidRDefault="00796BF6" w:rsidP="00796BF6">
      <w:pPr>
        <w:ind w:left="720"/>
      </w:pPr>
      <w:r w:rsidRPr="009F3B4F">
        <w:t>-</w:t>
      </w:r>
      <w:commentRangeStart w:id="2"/>
      <w:commentRangeStart w:id="3"/>
      <w:r w:rsidR="009E0F6D" w:rsidRPr="009F3B4F">
        <w:t>patients seen at</w:t>
      </w:r>
      <w:r w:rsidRPr="009F3B4F">
        <w:t xml:space="preserve"> Stony Brook University Hospital and/or Stony Brook Children's Hospital </w:t>
      </w:r>
      <w:commentRangeEnd w:id="2"/>
      <w:r w:rsidR="00487A61" w:rsidRPr="00362FD5">
        <w:rPr>
          <w:rStyle w:val="CommentReference"/>
        </w:rPr>
        <w:commentReference w:id="2"/>
      </w:r>
      <w:commentRangeEnd w:id="3"/>
      <w:r w:rsidR="00FB46B0" w:rsidRPr="00362FD5">
        <w:rPr>
          <w:rStyle w:val="CommentReference"/>
        </w:rPr>
        <w:commentReference w:id="3"/>
      </w:r>
      <w:r w:rsidRPr="009F3B4F">
        <w:t xml:space="preserve">and/or </w:t>
      </w:r>
      <w:r w:rsidR="00364BF0">
        <w:t xml:space="preserve">Ambulatory Clinics </w:t>
      </w:r>
      <w:r w:rsidRPr="009F3B4F">
        <w:t>within the Tri</w:t>
      </w:r>
      <w:r w:rsidR="00621E13">
        <w:t>N</w:t>
      </w:r>
      <w:r w:rsidRPr="009F3B4F">
        <w:t>etX shared database</w:t>
      </w:r>
    </w:p>
    <w:p w14:paraId="6CE9CECC" w14:textId="785482A0" w:rsidR="00796BF6" w:rsidRPr="00362FD5" w:rsidRDefault="00796BF6" w:rsidP="00796BF6">
      <w:pPr>
        <w:ind w:left="720"/>
      </w:pPr>
      <w:r w:rsidRPr="00362FD5">
        <w:t>-with a diagnosis</w:t>
      </w:r>
      <w:r w:rsidR="00BD6321" w:rsidRPr="00362FD5">
        <w:t>/procedure/lab</w:t>
      </w:r>
      <w:r w:rsidRPr="00362FD5">
        <w:t xml:space="preserve"> code</w:t>
      </w:r>
      <w:r w:rsidR="00364BF0">
        <w:t>/etc.</w:t>
      </w:r>
      <w:r w:rsidRPr="00362FD5">
        <w:t xml:space="preserve"> of</w:t>
      </w:r>
      <w:r w:rsidR="009E0F6D" w:rsidRPr="00362FD5">
        <w:t xml:space="preserve"> {</w:t>
      </w:r>
      <w:r w:rsidR="00C836DF" w:rsidRPr="00362FD5">
        <w:t xml:space="preserve">insert </w:t>
      </w:r>
      <w:r w:rsidR="00BD6321" w:rsidRPr="00362FD5">
        <w:t>relevant terms</w:t>
      </w:r>
      <w:r w:rsidR="00C836DF" w:rsidRPr="00362FD5">
        <w:t xml:space="preserve">} </w:t>
      </w:r>
      <w:r w:rsidRPr="00362FD5">
        <w:t>or related</w:t>
      </w:r>
    </w:p>
    <w:p w14:paraId="60AF4A0A" w14:textId="41D6BF16" w:rsidR="00796BF6" w:rsidRPr="00362FD5" w:rsidRDefault="00796BF6" w:rsidP="00796BF6">
      <w:pPr>
        <w:ind w:left="720"/>
      </w:pPr>
      <w:r w:rsidRPr="00362FD5">
        <w:t xml:space="preserve">-between </w:t>
      </w:r>
      <w:r w:rsidR="00487A61" w:rsidRPr="00362FD5">
        <w:t>{</w:t>
      </w:r>
      <w:r w:rsidR="00970DBB">
        <w:t xml:space="preserve">insert relevant </w:t>
      </w:r>
      <w:r w:rsidR="00487A61" w:rsidRPr="00362FD5">
        <w:t>dates}</w:t>
      </w:r>
    </w:p>
    <w:p w14:paraId="3FB84B0F" w14:textId="77777777" w:rsidR="00796BF6" w:rsidRPr="00362FD5" w:rsidRDefault="00796BF6" w:rsidP="00796BF6">
      <w:pPr>
        <w:spacing w:line="276" w:lineRule="auto"/>
        <w:rPr>
          <w:b/>
          <w:sz w:val="28"/>
        </w:rPr>
      </w:pPr>
      <w:r w:rsidRPr="00362FD5">
        <w:rPr>
          <w:b/>
          <w:sz w:val="28"/>
        </w:rPr>
        <w:t xml:space="preserve">10.0 Research Procedures </w:t>
      </w:r>
    </w:p>
    <w:p w14:paraId="1C2447BB" w14:textId="77777777" w:rsidR="00796BF6" w:rsidRPr="00362FD5" w:rsidRDefault="00796BF6" w:rsidP="00796BF6">
      <w:pPr>
        <w:spacing w:line="276" w:lineRule="auto"/>
        <w:rPr>
          <w:b/>
          <w:i/>
          <w:sz w:val="28"/>
        </w:rPr>
      </w:pPr>
      <w:r w:rsidRPr="00362FD5">
        <w:rPr>
          <w:i/>
        </w:rPr>
        <w:t>Provide a detailed description of all research procedures or activities being performed on the research subjects</w:t>
      </w:r>
    </w:p>
    <w:p w14:paraId="36E09D23" w14:textId="77777777" w:rsidR="00796BF6" w:rsidRPr="00362FD5" w:rsidRDefault="00796BF6" w:rsidP="00796BF6">
      <w:r w:rsidRPr="00362FD5">
        <w:t xml:space="preserve">Response: </w:t>
      </w:r>
    </w:p>
    <w:p w14:paraId="626F4DE9" w14:textId="33339963" w:rsidR="00364BF0" w:rsidRDefault="006A5B91" w:rsidP="00A27E91">
      <w:r>
        <w:t>P</w:t>
      </w:r>
      <w:r w:rsidR="00796BF6" w:rsidRPr="009F3B4F">
        <w:t xml:space="preserve">atient data </w:t>
      </w:r>
      <w:r>
        <w:t>is d</w:t>
      </w:r>
      <w:r w:rsidRPr="009F3B4F">
        <w:t xml:space="preserve">e-identified </w:t>
      </w:r>
      <w:r w:rsidR="00364BF0">
        <w:t>within the</w:t>
      </w:r>
      <w:r w:rsidR="00796BF6" w:rsidRPr="009F3B4F">
        <w:t xml:space="preserve"> TriNetX </w:t>
      </w:r>
      <w:r>
        <w:t xml:space="preserve">platform. The </w:t>
      </w:r>
      <w:r w:rsidRPr="009F3B4F">
        <w:t>Stony Brook</w:t>
      </w:r>
      <w:r>
        <w:t xml:space="preserve"> University Research Network </w:t>
      </w:r>
      <w:r w:rsidR="00796BF6" w:rsidRPr="009F3B4F">
        <w:t xml:space="preserve">database will be used </w:t>
      </w:r>
      <w:r w:rsidR="00A27E91" w:rsidRPr="009F3B4F">
        <w:t xml:space="preserve">in </w:t>
      </w:r>
      <w:r w:rsidR="00487A61" w:rsidRPr="009F3B4F">
        <w:t xml:space="preserve">preliminary </w:t>
      </w:r>
      <w:r w:rsidR="00A27E91" w:rsidRPr="009F3B4F">
        <w:t>analysis</w:t>
      </w:r>
      <w:r w:rsidR="00364BF0">
        <w:t xml:space="preserve"> within the platform</w:t>
      </w:r>
      <w:r w:rsidR="00A27E91" w:rsidRPr="009F3B4F">
        <w:t xml:space="preserve">.  </w:t>
      </w:r>
    </w:p>
    <w:p w14:paraId="172045B1" w14:textId="7CC84991" w:rsidR="00A27E91" w:rsidRDefault="009E0F6D" w:rsidP="00A27E91">
      <w:r w:rsidRPr="009F3B4F">
        <w:t xml:space="preserve">Acting as Honest Broker, SBM IT will download the TriNetX synthetic patient IDs for our selected cohort of patients, then re-map them to the patients’ SBM MRNs. </w:t>
      </w:r>
      <w:r w:rsidR="00FB46B0" w:rsidRPr="009F3B4F">
        <w:t>The Honest Broker will provide the list of identified patients to the PI via a HIPAA-compliant Research Share drive.</w:t>
      </w:r>
      <w:r w:rsidR="00BD6321" w:rsidRPr="009F3B4F">
        <w:t xml:space="preserve"> </w:t>
      </w:r>
      <w:commentRangeStart w:id="4"/>
      <w:commentRangeStart w:id="5"/>
      <w:r w:rsidR="00FB46B0" w:rsidRPr="009F3B4F">
        <w:t>T</w:t>
      </w:r>
      <w:r w:rsidR="00A27E91" w:rsidRPr="009F3B4F">
        <w:t xml:space="preserve">hen we will perform a chart review and collect information. The collection survey will not include any patient </w:t>
      </w:r>
      <w:r w:rsidR="00A27E91" w:rsidRPr="009F3B4F">
        <w:lastRenderedPageBreak/>
        <w:t xml:space="preserve">identifiers. </w:t>
      </w:r>
      <w:commentRangeEnd w:id="4"/>
      <w:r w:rsidR="00487A61" w:rsidRPr="00362FD5">
        <w:rPr>
          <w:rStyle w:val="CommentReference"/>
        </w:rPr>
        <w:commentReference w:id="4"/>
      </w:r>
      <w:commentRangeEnd w:id="5"/>
      <w:r w:rsidR="00FB46B0" w:rsidRPr="00362FD5">
        <w:rPr>
          <w:rStyle w:val="CommentReference"/>
        </w:rPr>
        <w:commentReference w:id="5"/>
      </w:r>
      <w:r w:rsidR="00A27E91" w:rsidRPr="009F3B4F">
        <w:t>All patient information will be kept in a password-</w:t>
      </w:r>
      <w:commentRangeStart w:id="6"/>
      <w:r w:rsidR="00A27E91" w:rsidRPr="009F3B4F">
        <w:t xml:space="preserve">protected computer </w:t>
      </w:r>
      <w:commentRangeEnd w:id="6"/>
      <w:r w:rsidR="006616AD">
        <w:rPr>
          <w:rStyle w:val="CommentReference"/>
        </w:rPr>
        <w:commentReference w:id="6"/>
      </w:r>
      <w:r w:rsidR="00A27E91" w:rsidRPr="009F3B4F">
        <w:t>only accessible by the Principal Investigator.</w:t>
      </w:r>
      <w:r w:rsidR="00A27E91" w:rsidRPr="00362FD5">
        <w:t xml:space="preserve"> </w:t>
      </w:r>
    </w:p>
    <w:p w14:paraId="2BF9883C" w14:textId="0AEF3DBE" w:rsidR="00796BF6" w:rsidRPr="00362FD5" w:rsidRDefault="00796BF6" w:rsidP="00A27E91">
      <w:pPr>
        <w:rPr>
          <w:i/>
        </w:rPr>
      </w:pPr>
      <w:r w:rsidRPr="00362FD5">
        <w:rPr>
          <w:i/>
        </w:rPr>
        <w:t>10.1</w:t>
      </w:r>
      <w:r w:rsidRPr="00362FD5">
        <w:rPr>
          <w:i/>
        </w:rPr>
        <w:tab/>
        <w:t xml:space="preserve">Describe what data, including long-term follow-up, will be collected.  </w:t>
      </w:r>
    </w:p>
    <w:p w14:paraId="1EEC3C91" w14:textId="77777777" w:rsidR="00796BF6" w:rsidRPr="00362FD5" w:rsidRDefault="00796BF6" w:rsidP="00796BF6">
      <w:pPr>
        <w:spacing w:line="276" w:lineRule="auto"/>
        <w:ind w:left="720"/>
        <w:rPr>
          <w:i/>
        </w:rPr>
      </w:pPr>
      <w:r w:rsidRPr="00362FD5">
        <w:rPr>
          <w:i/>
        </w:rPr>
        <w:t>NOTE:  For studies with multiple data collection points or long-term follow up, consider the addition of a schedule or table in your response.</w:t>
      </w:r>
    </w:p>
    <w:p w14:paraId="5787AE3A" w14:textId="77777777" w:rsidR="00364BF0" w:rsidRDefault="00796BF6" w:rsidP="00796BF6">
      <w:r w:rsidRPr="009F3B4F">
        <w:t xml:space="preserve">Response: </w:t>
      </w:r>
    </w:p>
    <w:p w14:paraId="67DC4730" w14:textId="786C9135" w:rsidR="00796BF6" w:rsidRPr="00362FD5" w:rsidRDefault="00796BF6" w:rsidP="00796BF6">
      <w:r w:rsidRPr="009F3B4F">
        <w:t>The following information will be collected</w:t>
      </w:r>
      <w:r w:rsidR="00A27E91" w:rsidRPr="009F3B4F">
        <w:t xml:space="preserve"> during chart review</w:t>
      </w:r>
      <w:r w:rsidRPr="009F3B4F">
        <w:t xml:space="preserve">: </w:t>
      </w:r>
    </w:p>
    <w:p w14:paraId="08A3E557" w14:textId="53998131" w:rsidR="00796BF6" w:rsidRDefault="00970DBB" w:rsidP="00970DBB">
      <w:r w:rsidRPr="00362FD5">
        <w:t xml:space="preserve">{insert relevant </w:t>
      </w:r>
      <w:r>
        <w:t>items</w:t>
      </w:r>
      <w:r w:rsidRPr="00362FD5">
        <w:t>}</w:t>
      </w:r>
    </w:p>
    <w:p w14:paraId="12A1F979" w14:textId="77777777" w:rsidR="00796BF6" w:rsidRPr="00362FD5" w:rsidRDefault="00796BF6" w:rsidP="00796BF6">
      <w:pPr>
        <w:spacing w:line="276" w:lineRule="auto"/>
        <w:rPr>
          <w:i/>
        </w:rPr>
      </w:pPr>
      <w:r w:rsidRPr="00362FD5">
        <w:rPr>
          <w:i/>
        </w:rPr>
        <w:t>10.2</w:t>
      </w:r>
      <w:r w:rsidRPr="00362FD5">
        <w:rPr>
          <w:i/>
        </w:rPr>
        <w:tab/>
        <w:t>Describe any source records that will be used to collect data about subjects (e.g. school records, electronic medical records) and include the date range for records that will be accessed.</w:t>
      </w:r>
    </w:p>
    <w:p w14:paraId="6AEC59A4" w14:textId="77777777" w:rsidR="00796BF6" w:rsidRPr="00362FD5" w:rsidRDefault="00796BF6" w:rsidP="00796BF6">
      <w:r w:rsidRPr="009F3B4F">
        <w:t>Response</w:t>
      </w:r>
      <w:r w:rsidRPr="00362FD5">
        <w:t xml:space="preserve">: </w:t>
      </w:r>
    </w:p>
    <w:p w14:paraId="0837DBBF" w14:textId="780BA5CC" w:rsidR="00796BF6" w:rsidRDefault="00796BF6" w:rsidP="00796BF6">
      <w:r w:rsidRPr="009F3B4F">
        <w:t xml:space="preserve">Data from </w:t>
      </w:r>
      <w:r w:rsidR="00364BF0">
        <w:t xml:space="preserve">Stony Brook’s </w:t>
      </w:r>
      <w:r w:rsidRPr="009F3B4F">
        <w:t>Cerner electronic medical records will be used to collect the above listed data.</w:t>
      </w:r>
    </w:p>
    <w:p w14:paraId="31F4E0CD" w14:textId="77777777" w:rsidR="00796BF6" w:rsidRPr="00362FD5" w:rsidRDefault="00796BF6" w:rsidP="00796BF6">
      <w:pPr>
        <w:spacing w:line="276" w:lineRule="auto"/>
        <w:rPr>
          <w:b/>
          <w:sz w:val="28"/>
        </w:rPr>
      </w:pPr>
      <w:r w:rsidRPr="00362FD5">
        <w:rPr>
          <w:b/>
          <w:sz w:val="28"/>
        </w:rPr>
        <w:t>12.0 Research Setting</w:t>
      </w:r>
    </w:p>
    <w:p w14:paraId="1A60EE1E" w14:textId="77777777" w:rsidR="00796BF6" w:rsidRPr="00362FD5" w:rsidRDefault="00796BF6" w:rsidP="00796BF6">
      <w:pPr>
        <w:rPr>
          <w:i/>
        </w:rPr>
      </w:pPr>
      <w:r w:rsidRPr="00362FD5">
        <w:rPr>
          <w:i/>
        </w:rPr>
        <w:t>12.1</w:t>
      </w:r>
      <w:r w:rsidRPr="00362FD5">
        <w:rPr>
          <w:i/>
        </w:rPr>
        <w:tab/>
        <w:t>Describe all facilities/sites/locations where you will be screening and conducting research procedures.</w:t>
      </w:r>
    </w:p>
    <w:p w14:paraId="139BBFFB" w14:textId="503F6847" w:rsidR="00796BF6" w:rsidRPr="009F3B4F" w:rsidRDefault="00796BF6" w:rsidP="00796BF6">
      <w:r w:rsidRPr="009F3B4F">
        <w:t xml:space="preserve">Response: </w:t>
      </w:r>
    </w:p>
    <w:p w14:paraId="5920B3CF" w14:textId="7F389800" w:rsidR="00796BF6" w:rsidRPr="00796BF6" w:rsidRDefault="00796BF6" w:rsidP="00796BF6">
      <w:r w:rsidRPr="00362FD5">
        <w:t xml:space="preserve">All work will be </w:t>
      </w:r>
      <w:r w:rsidR="007804E2" w:rsidRPr="00362FD5">
        <w:t xml:space="preserve">completed within {say location on campus}. </w:t>
      </w:r>
      <w:r w:rsidRPr="00362FD5">
        <w:t xml:space="preserve"> </w:t>
      </w:r>
      <w:r w:rsidR="00FB46B0" w:rsidRPr="00362FD5">
        <w:t xml:space="preserve">Data will be stored on a secure Research IT server and accessed via </w:t>
      </w:r>
      <w:proofErr w:type="gramStart"/>
      <w:r w:rsidR="00FB46B0" w:rsidRPr="00362FD5">
        <w:t>a</w:t>
      </w:r>
      <w:proofErr w:type="gramEnd"/>
      <w:r w:rsidR="00FB46B0" w:rsidRPr="00362FD5">
        <w:t xml:space="preserve"> SBM PC.</w:t>
      </w:r>
    </w:p>
    <w:sectPr w:rsidR="00796BF6" w:rsidRPr="00796BF6">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choenfeld, Elinor" w:date="2021-09-21T16:18:00Z" w:initials="SE">
    <w:p w14:paraId="290185B4" w14:textId="75096DD8" w:rsidR="00487A61" w:rsidRDefault="00487A61">
      <w:pPr>
        <w:pStyle w:val="CommentText"/>
      </w:pPr>
      <w:r>
        <w:rPr>
          <w:rStyle w:val="CommentReference"/>
        </w:rPr>
        <w:annotationRef/>
      </w:r>
      <w:r>
        <w:t>Is there now outpatient data in TriNetX?  If so then not just inpatients</w:t>
      </w:r>
    </w:p>
  </w:comment>
  <w:comment w:id="3" w:author="Keister, Melanie M." w:date="2021-09-21T16:48:00Z" w:initials="KMM">
    <w:p w14:paraId="4BF3659C" w14:textId="2E07461A" w:rsidR="00FB46B0" w:rsidRDefault="00FB46B0">
      <w:pPr>
        <w:pStyle w:val="CommentText"/>
      </w:pPr>
      <w:r>
        <w:rPr>
          <w:rStyle w:val="CommentReference"/>
        </w:rPr>
        <w:annotationRef/>
      </w:r>
      <w:r>
        <w:t>Right – fixed it!</w:t>
      </w:r>
    </w:p>
  </w:comment>
  <w:comment w:id="4" w:author="Schoenfeld, Elinor" w:date="2021-09-21T16:20:00Z" w:initials="SE">
    <w:p w14:paraId="29A0ABD2" w14:textId="63FDBBC2" w:rsidR="00487A61" w:rsidRDefault="00487A61">
      <w:pPr>
        <w:pStyle w:val="CommentText"/>
      </w:pPr>
      <w:r>
        <w:rPr>
          <w:rStyle w:val="CommentReference"/>
        </w:rPr>
        <w:annotationRef/>
      </w:r>
      <w:r>
        <w:t>Unclear how the TriNetX data will be linked to the honest broker data…  need to explain</w:t>
      </w:r>
    </w:p>
  </w:comment>
  <w:comment w:id="5" w:author="Keister, Melanie M." w:date="2021-09-21T16:50:00Z" w:initials="KMM">
    <w:p w14:paraId="4D098433" w14:textId="22F48876" w:rsidR="00FB46B0" w:rsidRDefault="00FB46B0">
      <w:pPr>
        <w:pStyle w:val="CommentText"/>
      </w:pPr>
      <w:r>
        <w:rPr>
          <w:rStyle w:val="CommentReference"/>
        </w:rPr>
        <w:annotationRef/>
      </w:r>
      <w:r>
        <w:t>Updated to be more clear</w:t>
      </w:r>
    </w:p>
  </w:comment>
  <w:comment w:id="6" w:author="Schoenfeld, Elinor [2]" w:date="2021-09-29T12:27:00Z" w:initials="SE">
    <w:p w14:paraId="259517ED" w14:textId="1DBF5ECE" w:rsidR="006616AD" w:rsidRDefault="006616AD">
      <w:pPr>
        <w:pStyle w:val="CommentText"/>
      </w:pPr>
      <w:r>
        <w:rPr>
          <w:rStyle w:val="CommentReference"/>
        </w:rPr>
        <w:annotationRef/>
      </w:r>
      <w:r>
        <w:t>This could also be a HIPAA compliant Research IT server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185B4" w15:done="1"/>
  <w15:commentEx w15:paraId="4BF3659C" w15:paraIdParent="290185B4" w15:done="1"/>
  <w15:commentEx w15:paraId="29A0ABD2" w15:done="0"/>
  <w15:commentEx w15:paraId="4D098433" w15:paraIdParent="29A0ABD2" w15:done="0"/>
  <w15:commentEx w15:paraId="259517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7875" w16cex:dateUtc="2021-09-21T19:27:00Z"/>
  <w16cex:commentExtensible w16cex:durableId="24F47CB9" w16cex:dateUtc="2021-09-21T19:46:00Z"/>
  <w16cex:commentExtensible w16cex:durableId="24F48199" w16cex:dateUtc="2021-09-21T20:06:00Z"/>
  <w16cex:commentExtensible w16cex:durableId="24F48458" w16cex:dateUtc="2021-09-21T20:18:00Z"/>
  <w16cex:commentExtensible w16cex:durableId="24F484C8" w16cex:dateUtc="2021-09-21T20:20:00Z"/>
  <w16cex:commentExtensible w16cex:durableId="24F484FF" w16cex:dateUtc="2021-09-21T20:21:00Z"/>
  <w16cex:commentExtensible w16cex:durableId="24F48531" w16cex:dateUtc="2021-09-21T20:22:00Z"/>
  <w16cex:commentExtensible w16cex:durableId="24F48513" w16cex:dateUtc="2021-09-21T20:21:00Z"/>
  <w16cex:commentExtensible w16cex:durableId="24F485F6" w16cex:dateUtc="2021-09-21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185B4" w16cid:durableId="24F48458"/>
  <w16cid:commentId w16cid:paraId="4BF3659C" w16cid:durableId="2BC46C6C"/>
  <w16cid:commentId w16cid:paraId="29A0ABD2" w16cid:durableId="24F484C8"/>
  <w16cid:commentId w16cid:paraId="4D098433" w16cid:durableId="2BC46C6E"/>
  <w16cid:commentId w16cid:paraId="259517ED" w16cid:durableId="2BC46C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4AC08" w14:textId="77777777" w:rsidR="00421586" w:rsidRDefault="00421586" w:rsidP="00362FD5">
      <w:pPr>
        <w:spacing w:after="0" w:line="240" w:lineRule="auto"/>
      </w:pPr>
      <w:r>
        <w:separator/>
      </w:r>
    </w:p>
  </w:endnote>
  <w:endnote w:type="continuationSeparator" w:id="0">
    <w:p w14:paraId="305A45C0" w14:textId="77777777" w:rsidR="00421586" w:rsidRDefault="00421586" w:rsidP="003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A1D91" w14:textId="77777777" w:rsidR="00421586" w:rsidRDefault="00421586" w:rsidP="00362FD5">
      <w:pPr>
        <w:spacing w:after="0" w:line="240" w:lineRule="auto"/>
      </w:pPr>
      <w:r>
        <w:separator/>
      </w:r>
    </w:p>
  </w:footnote>
  <w:footnote w:type="continuationSeparator" w:id="0">
    <w:p w14:paraId="6B83919C" w14:textId="77777777" w:rsidR="00421586" w:rsidRDefault="00421586" w:rsidP="0036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A9B0" w14:textId="7C0E0FDD" w:rsidR="00362FD5" w:rsidRDefault="00362FD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oenfeld, Elinor">
    <w15:presenceInfo w15:providerId="AD" w15:userId="S::Elinor.Schoenfeld@stonybrookmedicine.edu::6075b9a0-4156-4eb4-b809-563ec0416680"/>
  </w15:person>
  <w15:person w15:author="Keister, Melanie M.">
    <w15:presenceInfo w15:providerId="AD" w15:userId="S-1-5-21-2019896198-308760431-1726288727-128559"/>
  </w15:person>
  <w15:person w15:author="Schoenfeld, Elinor [2]">
    <w15:presenceInfo w15:providerId="AD" w15:userId="S-1-5-21-2019896198-308760431-1726288727-48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F6"/>
    <w:rsid w:val="00002540"/>
    <w:rsid w:val="00017C89"/>
    <w:rsid w:val="0015010C"/>
    <w:rsid w:val="001551BF"/>
    <w:rsid w:val="001A1C8F"/>
    <w:rsid w:val="001C0060"/>
    <w:rsid w:val="001C78CC"/>
    <w:rsid w:val="0023571E"/>
    <w:rsid w:val="00254C80"/>
    <w:rsid w:val="002D2ED0"/>
    <w:rsid w:val="00362FD5"/>
    <w:rsid w:val="00364BF0"/>
    <w:rsid w:val="00421586"/>
    <w:rsid w:val="00487A61"/>
    <w:rsid w:val="00514A26"/>
    <w:rsid w:val="005745DC"/>
    <w:rsid w:val="005C1693"/>
    <w:rsid w:val="005F79A3"/>
    <w:rsid w:val="00621E13"/>
    <w:rsid w:val="00655ED3"/>
    <w:rsid w:val="006616AD"/>
    <w:rsid w:val="0068001B"/>
    <w:rsid w:val="006A5B91"/>
    <w:rsid w:val="00732B12"/>
    <w:rsid w:val="00765F3A"/>
    <w:rsid w:val="007804E2"/>
    <w:rsid w:val="00796BF6"/>
    <w:rsid w:val="007977A5"/>
    <w:rsid w:val="00970DBB"/>
    <w:rsid w:val="009E0F6D"/>
    <w:rsid w:val="009F3B4F"/>
    <w:rsid w:val="00A27E91"/>
    <w:rsid w:val="00BA2286"/>
    <w:rsid w:val="00BD6321"/>
    <w:rsid w:val="00C836DF"/>
    <w:rsid w:val="00E93E6C"/>
    <w:rsid w:val="00EB26D1"/>
    <w:rsid w:val="00F50DCA"/>
    <w:rsid w:val="00F552FB"/>
    <w:rsid w:val="00FB1917"/>
    <w:rsid w:val="00FB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AFD94"/>
  <w15:chartTrackingRefBased/>
  <w15:docId w15:val="{394AAE24-90A9-4A54-9004-300574E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78CC"/>
    <w:rPr>
      <w:sz w:val="16"/>
      <w:szCs w:val="16"/>
    </w:rPr>
  </w:style>
  <w:style w:type="paragraph" w:styleId="CommentText">
    <w:name w:val="annotation text"/>
    <w:basedOn w:val="Normal"/>
    <w:link w:val="CommentTextChar"/>
    <w:uiPriority w:val="99"/>
    <w:semiHidden/>
    <w:unhideWhenUsed/>
    <w:rsid w:val="001C78CC"/>
    <w:pPr>
      <w:spacing w:line="240" w:lineRule="auto"/>
    </w:pPr>
    <w:rPr>
      <w:sz w:val="20"/>
      <w:szCs w:val="20"/>
    </w:rPr>
  </w:style>
  <w:style w:type="character" w:customStyle="1" w:styleId="CommentTextChar">
    <w:name w:val="Comment Text Char"/>
    <w:basedOn w:val="DefaultParagraphFont"/>
    <w:link w:val="CommentText"/>
    <w:uiPriority w:val="99"/>
    <w:semiHidden/>
    <w:rsid w:val="001C78CC"/>
    <w:rPr>
      <w:sz w:val="20"/>
      <w:szCs w:val="20"/>
    </w:rPr>
  </w:style>
  <w:style w:type="paragraph" w:styleId="CommentSubject">
    <w:name w:val="annotation subject"/>
    <w:basedOn w:val="CommentText"/>
    <w:next w:val="CommentText"/>
    <w:link w:val="CommentSubjectChar"/>
    <w:uiPriority w:val="99"/>
    <w:semiHidden/>
    <w:unhideWhenUsed/>
    <w:rsid w:val="001C78CC"/>
    <w:rPr>
      <w:b/>
      <w:bCs/>
    </w:rPr>
  </w:style>
  <w:style w:type="character" w:customStyle="1" w:styleId="CommentSubjectChar">
    <w:name w:val="Comment Subject Char"/>
    <w:basedOn w:val="CommentTextChar"/>
    <w:link w:val="CommentSubject"/>
    <w:uiPriority w:val="99"/>
    <w:semiHidden/>
    <w:rsid w:val="001C78CC"/>
    <w:rPr>
      <w:b/>
      <w:bCs/>
      <w:sz w:val="20"/>
      <w:szCs w:val="20"/>
    </w:rPr>
  </w:style>
  <w:style w:type="paragraph" w:styleId="BalloonText">
    <w:name w:val="Balloon Text"/>
    <w:basedOn w:val="Normal"/>
    <w:link w:val="BalloonTextChar"/>
    <w:uiPriority w:val="99"/>
    <w:semiHidden/>
    <w:unhideWhenUsed/>
    <w:rsid w:val="009E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6D"/>
    <w:rPr>
      <w:rFonts w:ascii="Segoe UI" w:hAnsi="Segoe UI" w:cs="Segoe UI"/>
      <w:sz w:val="18"/>
      <w:szCs w:val="18"/>
    </w:rPr>
  </w:style>
  <w:style w:type="paragraph" w:styleId="Header">
    <w:name w:val="header"/>
    <w:basedOn w:val="Normal"/>
    <w:link w:val="HeaderChar"/>
    <w:uiPriority w:val="99"/>
    <w:unhideWhenUsed/>
    <w:rsid w:val="00362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FD5"/>
  </w:style>
  <w:style w:type="paragraph" w:styleId="Footer">
    <w:name w:val="footer"/>
    <w:basedOn w:val="Normal"/>
    <w:link w:val="FooterChar"/>
    <w:uiPriority w:val="99"/>
    <w:unhideWhenUsed/>
    <w:rsid w:val="00362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e5690cb-1913-4cba-9ce1-68b71b0243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B37E85C0A1444A802AA6A4E952A889" ma:contentTypeVersion="18" ma:contentTypeDescription="Create a new document." ma:contentTypeScope="" ma:versionID="314f9114c67904951851feac0383df2e">
  <xsd:schema xmlns:xsd="http://www.w3.org/2001/XMLSchema" xmlns:xs="http://www.w3.org/2001/XMLSchema" xmlns:p="http://schemas.microsoft.com/office/2006/metadata/properties" xmlns:ns3="3e5690cb-1913-4cba-9ce1-68b71b02430a" xmlns:ns4="236fcc96-a993-4619-9d83-88b0aabe265a" targetNamespace="http://schemas.microsoft.com/office/2006/metadata/properties" ma:root="true" ma:fieldsID="a3c95dc03ece15f1fa465aadeb1934ca" ns3:_="" ns4:_="">
    <xsd:import namespace="3e5690cb-1913-4cba-9ce1-68b71b02430a"/>
    <xsd:import namespace="236fcc96-a993-4619-9d83-88b0aabe26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690cb-1913-4cba-9ce1-68b71b024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fcc96-a993-4619-9d83-88b0aabe26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D73A9-98A1-4A5E-9E7F-6E5B23E0CAFF}">
  <ds:schemaRefs>
    <ds:schemaRef ds:uri="http://schemas.microsoft.com/sharepoint/v3/contenttype/forms"/>
  </ds:schemaRefs>
</ds:datastoreItem>
</file>

<file path=customXml/itemProps2.xml><?xml version="1.0" encoding="utf-8"?>
<ds:datastoreItem xmlns:ds="http://schemas.openxmlformats.org/officeDocument/2006/customXml" ds:itemID="{5412658B-F826-49BF-A88B-5AFE52F701A8}">
  <ds:schemaRefs>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3e5690cb-1913-4cba-9ce1-68b71b02430a"/>
    <ds:schemaRef ds:uri="http://purl.org/dc/elements/1.1/"/>
    <ds:schemaRef ds:uri="236fcc96-a993-4619-9d83-88b0aabe265a"/>
    <ds:schemaRef ds:uri="http://schemas.microsoft.com/office/2006/metadata/properties"/>
  </ds:schemaRefs>
</ds:datastoreItem>
</file>

<file path=customXml/itemProps3.xml><?xml version="1.0" encoding="utf-8"?>
<ds:datastoreItem xmlns:ds="http://schemas.openxmlformats.org/officeDocument/2006/customXml" ds:itemID="{9A164141-8805-4C09-9CA5-24AEB08C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690cb-1913-4cba-9ce1-68b71b02430a"/>
    <ds:schemaRef ds:uri="236fcc96-a993-4619-9d83-88b0aabe2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Keister, Melanie M.</dc:creator>
  <cp:keywords/>
  <dc:description/>
  <cp:lastModifiedBy>Keister, Melanie M.</cp:lastModifiedBy>
  <cp:revision>3</cp:revision>
  <dcterms:created xsi:type="dcterms:W3CDTF">2025-05-06T15:41:00Z</dcterms:created>
  <dcterms:modified xsi:type="dcterms:W3CDTF">2025-05-06T15:42:00Z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0x010100C9B37E85C0A1444A802AA6A4E952A889</vt:lpwstr>
  </property>
</Properties>
</file>